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33" w:rsidRPr="006D3B34" w:rsidRDefault="00721033" w:rsidP="00721033">
      <w:pPr>
        <w:jc w:val="right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Приложение № 7 </w:t>
      </w:r>
    </w:p>
    <w:p w:rsidR="00721033" w:rsidRPr="006D3B34" w:rsidRDefault="00721033" w:rsidP="00721033">
      <w:pPr>
        <w:jc w:val="center"/>
        <w:rPr>
          <w:rFonts w:ascii="Times New Roman" w:hAnsi="Times New Roman" w:cs="Times New Roman"/>
          <w:b/>
          <w:bCs/>
        </w:rPr>
      </w:pPr>
      <w:r w:rsidRPr="006D3B34">
        <w:rPr>
          <w:rFonts w:ascii="Times New Roman" w:hAnsi="Times New Roman" w:cs="Times New Roman"/>
          <w:b/>
          <w:bCs/>
        </w:rPr>
        <w:t>Глава втора, раздел VIII</w:t>
      </w:r>
    </w:p>
    <w:p w:rsidR="00721033" w:rsidRPr="006D3B34" w:rsidRDefault="00721033" w:rsidP="00721033">
      <w:pPr>
        <w:jc w:val="center"/>
        <w:rPr>
          <w:rFonts w:ascii="Times New Roman" w:hAnsi="Times New Roman" w:cs="Times New Roman"/>
          <w:b/>
          <w:bCs/>
        </w:rPr>
      </w:pPr>
      <w:r w:rsidRPr="006D3B34">
        <w:rPr>
          <w:rFonts w:ascii="Times New Roman" w:hAnsi="Times New Roman" w:cs="Times New Roman"/>
          <w:b/>
          <w:bCs/>
        </w:rPr>
        <w:t xml:space="preserve">ТАРИФА </w:t>
      </w:r>
    </w:p>
    <w:p w:rsidR="00721033" w:rsidRPr="006D3B34" w:rsidRDefault="00721033" w:rsidP="00721033">
      <w:pPr>
        <w:jc w:val="center"/>
        <w:rPr>
          <w:rFonts w:ascii="Times New Roman" w:hAnsi="Times New Roman" w:cs="Times New Roman"/>
          <w:b/>
          <w:bCs/>
        </w:rPr>
      </w:pPr>
      <w:r w:rsidRPr="006D3B34">
        <w:rPr>
          <w:rFonts w:ascii="Times New Roman" w:hAnsi="Times New Roman" w:cs="Times New Roman"/>
          <w:b/>
          <w:bCs/>
        </w:rPr>
        <w:t xml:space="preserve">за таксите, които се заплащат при промяна на предназначението на земеделските земи от Общинския поземлен фонд (ОПФ) </w:t>
      </w:r>
    </w:p>
    <w:p w:rsidR="00E975FC" w:rsidRPr="006D3B34" w:rsidRDefault="00E975FC" w:rsidP="00721033">
      <w:pPr>
        <w:jc w:val="center"/>
        <w:rPr>
          <w:rFonts w:ascii="Times New Roman" w:hAnsi="Times New Roman" w:cs="Times New Roman"/>
        </w:rPr>
      </w:pPr>
    </w:p>
    <w:p w:rsidR="00AA2855" w:rsidRPr="006D3B34" w:rsidRDefault="00AA2855" w:rsidP="00AA2855">
      <w:pPr>
        <w:jc w:val="center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Раздел I</w:t>
      </w:r>
    </w:p>
    <w:p w:rsidR="00AA2855" w:rsidRPr="006D3B34" w:rsidRDefault="00AA2855" w:rsidP="00AA2855">
      <w:pPr>
        <w:jc w:val="center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Общи положения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Чл. 1. С тарифата се определя размерът на таксите, които се заплащат при промяна на предназначението на земеделските земи от Общинския поземлен фонд (ОПФ) за неземеделски нужди.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Чл. 2. При изграждане на оранжерии, разсадници и други обекти за производство на земеделска продукция такса се заплаща само за тази част от земята, която се застроява със спомагателни сгради, съоръжения и комуникации и от нея пряко не се получава земеделска продукция.</w:t>
      </w:r>
    </w:p>
    <w:p w:rsidR="00E975FC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Чл. 3. Таксата за всички спомагателни и допълнителни обекти, за инженерната инфраструктура и комуникациите, намиращи се във и извън границите на площадката (трасето) на основния обект, се определя в зависимост от вида на обекта, за който се иска промяна на предназначението на земеделските земи. 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</w:p>
    <w:p w:rsidR="00AA2855" w:rsidRPr="006D3B34" w:rsidRDefault="00AA2855" w:rsidP="00AA2855">
      <w:pPr>
        <w:jc w:val="center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Раздел II</w:t>
      </w:r>
    </w:p>
    <w:p w:rsidR="00AA2855" w:rsidRPr="006D3B34" w:rsidRDefault="00AA2855" w:rsidP="00AA2855">
      <w:pPr>
        <w:jc w:val="center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Определяне на таксата за промяна на предназначението на земеделска земя от Общинския поземлен фонд (ОПФ) за неземеделски нужди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Чл. 4. Размерът на таксата за промяна на предназначението на земеделска земя се определя от: 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1. </w:t>
      </w:r>
      <w:proofErr w:type="spellStart"/>
      <w:r w:rsidRPr="006D3B34">
        <w:rPr>
          <w:rFonts w:ascii="Times New Roman" w:hAnsi="Times New Roman" w:cs="Times New Roman"/>
        </w:rPr>
        <w:t>бонитетната</w:t>
      </w:r>
      <w:proofErr w:type="spellEnd"/>
      <w:r w:rsidRPr="006D3B34">
        <w:rPr>
          <w:rFonts w:ascii="Times New Roman" w:hAnsi="Times New Roman" w:cs="Times New Roman"/>
        </w:rPr>
        <w:t xml:space="preserve"> категория на земеделската земя, посочена в акта за категоризация, изготвен съгласно Наредбата за категоризиране на земеделските земи при промяна на тяхното предназначение (ДВ, бр. 90 от 1996 г.); 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2. размера на земята, включена в границите на определената площадка или трасе на обекта; 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3. местонахождението на земята съобразно категорията на населеното място, определена по Единния класификатор на административно-териториалните и териториалните единици (ЕКАТТЕ) в Република България; 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4. вида на обекта;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lastRenderedPageBreak/>
        <w:t>5. възможността за напояване.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Чл.5. (1) Размерът на таксата се определя по формулата: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  <w:b/>
          <w:bCs/>
        </w:rPr>
      </w:pPr>
      <w:r w:rsidRPr="006D3B34">
        <w:rPr>
          <w:rFonts w:ascii="Times New Roman" w:hAnsi="Times New Roman" w:cs="Times New Roman"/>
          <w:b/>
          <w:bCs/>
        </w:rPr>
        <w:t xml:space="preserve">Т = СББ x </w:t>
      </w:r>
      <w:proofErr w:type="spellStart"/>
      <w:r w:rsidRPr="006D3B34">
        <w:rPr>
          <w:rFonts w:ascii="Times New Roman" w:hAnsi="Times New Roman" w:cs="Times New Roman"/>
          <w:b/>
          <w:bCs/>
        </w:rPr>
        <w:t>Кплощ</w:t>
      </w:r>
      <w:proofErr w:type="spellEnd"/>
      <w:r w:rsidRPr="006D3B34">
        <w:rPr>
          <w:rFonts w:ascii="Times New Roman" w:hAnsi="Times New Roman" w:cs="Times New Roman"/>
          <w:b/>
          <w:bCs/>
        </w:rPr>
        <w:t xml:space="preserve"> x </w:t>
      </w:r>
      <w:proofErr w:type="spellStart"/>
      <w:r w:rsidRPr="006D3B34">
        <w:rPr>
          <w:rFonts w:ascii="Times New Roman" w:hAnsi="Times New Roman" w:cs="Times New Roman"/>
          <w:b/>
          <w:bCs/>
        </w:rPr>
        <w:t>Кфт</w:t>
      </w:r>
      <w:proofErr w:type="spellEnd"/>
      <w:r w:rsidRPr="006D3B34">
        <w:rPr>
          <w:rFonts w:ascii="Times New Roman" w:hAnsi="Times New Roman" w:cs="Times New Roman"/>
          <w:b/>
          <w:bCs/>
        </w:rPr>
        <w:t xml:space="preserve"> x </w:t>
      </w:r>
      <w:proofErr w:type="spellStart"/>
      <w:r w:rsidRPr="006D3B34">
        <w:rPr>
          <w:rFonts w:ascii="Times New Roman" w:hAnsi="Times New Roman" w:cs="Times New Roman"/>
          <w:b/>
          <w:bCs/>
        </w:rPr>
        <w:t>Кпол</w:t>
      </w:r>
      <w:proofErr w:type="spellEnd"/>
      <w:r w:rsidRPr="006D3B34">
        <w:rPr>
          <w:rFonts w:ascii="Times New Roman" w:hAnsi="Times New Roman" w:cs="Times New Roman"/>
          <w:b/>
          <w:bCs/>
        </w:rPr>
        <w:t>,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където: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  <w:b/>
          <w:bCs/>
        </w:rPr>
        <w:t>Т</w:t>
      </w:r>
      <w:r w:rsidRPr="006D3B34">
        <w:rPr>
          <w:rFonts w:ascii="Times New Roman" w:hAnsi="Times New Roman" w:cs="Times New Roman"/>
        </w:rPr>
        <w:t xml:space="preserve"> е таксата за промяна на предназначението на 1 дка земеделска земя (лв.);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  <w:b/>
          <w:bCs/>
        </w:rPr>
        <w:t xml:space="preserve">СББ </w:t>
      </w:r>
      <w:r w:rsidRPr="006D3B34">
        <w:rPr>
          <w:rFonts w:ascii="Times New Roman" w:hAnsi="Times New Roman" w:cs="Times New Roman"/>
        </w:rPr>
        <w:t xml:space="preserve">- средният </w:t>
      </w:r>
      <w:proofErr w:type="spellStart"/>
      <w:r w:rsidRPr="006D3B34">
        <w:rPr>
          <w:rFonts w:ascii="Times New Roman" w:hAnsi="Times New Roman" w:cs="Times New Roman"/>
        </w:rPr>
        <w:t>бонитетен</w:t>
      </w:r>
      <w:proofErr w:type="spellEnd"/>
      <w:r w:rsidRPr="006D3B34">
        <w:rPr>
          <w:rFonts w:ascii="Times New Roman" w:hAnsi="Times New Roman" w:cs="Times New Roman"/>
        </w:rPr>
        <w:t xml:space="preserve"> бал за съответната категория земеделска земя при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 xml:space="preserve">неполивни условия; за </w:t>
      </w:r>
      <w:proofErr w:type="spellStart"/>
      <w:r w:rsidRPr="006D3B34">
        <w:rPr>
          <w:rFonts w:ascii="Times New Roman" w:hAnsi="Times New Roman" w:cs="Times New Roman"/>
        </w:rPr>
        <w:t>некатегоризируема</w:t>
      </w:r>
      <w:proofErr w:type="spellEnd"/>
      <w:r w:rsidRPr="006D3B34">
        <w:rPr>
          <w:rFonts w:ascii="Times New Roman" w:hAnsi="Times New Roman" w:cs="Times New Roman"/>
        </w:rPr>
        <w:t xml:space="preserve"> земя СББ е 2,5;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proofErr w:type="spellStart"/>
      <w:r w:rsidRPr="006D3B34">
        <w:rPr>
          <w:rFonts w:ascii="Times New Roman" w:hAnsi="Times New Roman" w:cs="Times New Roman"/>
          <w:b/>
          <w:bCs/>
        </w:rPr>
        <w:t>Кплощ</w:t>
      </w:r>
      <w:proofErr w:type="spellEnd"/>
      <w:r w:rsidRPr="006D3B34">
        <w:rPr>
          <w:rFonts w:ascii="Times New Roman" w:hAnsi="Times New Roman" w:cs="Times New Roman"/>
        </w:rPr>
        <w:t xml:space="preserve"> - коефициентът за площта на земята, необходима за обекта;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proofErr w:type="spellStart"/>
      <w:r w:rsidRPr="006D3B34">
        <w:rPr>
          <w:rFonts w:ascii="Times New Roman" w:hAnsi="Times New Roman" w:cs="Times New Roman"/>
          <w:b/>
          <w:bCs/>
        </w:rPr>
        <w:t>Кфт</w:t>
      </w:r>
      <w:proofErr w:type="spellEnd"/>
      <w:r w:rsidRPr="006D3B34">
        <w:rPr>
          <w:rFonts w:ascii="Times New Roman" w:hAnsi="Times New Roman" w:cs="Times New Roman"/>
          <w:b/>
          <w:bCs/>
        </w:rPr>
        <w:t xml:space="preserve"> - </w:t>
      </w:r>
      <w:r w:rsidRPr="006D3B34">
        <w:rPr>
          <w:rFonts w:ascii="Times New Roman" w:hAnsi="Times New Roman" w:cs="Times New Roman"/>
        </w:rPr>
        <w:t>коефициентът за функционалния тип на населеното място;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proofErr w:type="spellStart"/>
      <w:r w:rsidRPr="006D3B34">
        <w:rPr>
          <w:rFonts w:ascii="Times New Roman" w:hAnsi="Times New Roman" w:cs="Times New Roman"/>
          <w:b/>
          <w:bCs/>
        </w:rPr>
        <w:t>Кпол</w:t>
      </w:r>
      <w:proofErr w:type="spellEnd"/>
      <w:r w:rsidRPr="006D3B34">
        <w:rPr>
          <w:rFonts w:ascii="Times New Roman" w:hAnsi="Times New Roman" w:cs="Times New Roman"/>
        </w:rPr>
        <w:t xml:space="preserve"> - коефициентът за </w:t>
      </w:r>
      <w:proofErr w:type="spellStart"/>
      <w:r w:rsidRPr="006D3B34">
        <w:rPr>
          <w:rFonts w:ascii="Times New Roman" w:hAnsi="Times New Roman" w:cs="Times New Roman"/>
        </w:rPr>
        <w:t>поливност</w:t>
      </w:r>
      <w:proofErr w:type="spellEnd"/>
      <w:r w:rsidRPr="006D3B34">
        <w:rPr>
          <w:rFonts w:ascii="Times New Roman" w:hAnsi="Times New Roman" w:cs="Times New Roman"/>
        </w:rPr>
        <w:t>.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(2) Коефициентът за площта на земята се определя в зависимост от размера на земята,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необходима за обекта, и от вида на обекта, както следва: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1. за обектите по чл. 6: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а) при площ до 1 дка включително - 2,00</w:t>
      </w:r>
      <w:r w:rsidR="00C90B9B">
        <w:rPr>
          <w:rFonts w:ascii="Times New Roman" w:hAnsi="Times New Roman" w:cs="Times New Roman"/>
          <w:lang w:val="en-US"/>
        </w:rPr>
        <w:t xml:space="preserve"> </w:t>
      </w:r>
      <w:r w:rsidR="00C90B9B">
        <w:rPr>
          <w:rFonts w:ascii="Times New Roman" w:hAnsi="Times New Roman" w:cs="Times New Roman"/>
        </w:rPr>
        <w:t>лв./</w:t>
      </w:r>
      <w:r w:rsidR="00845F32">
        <w:rPr>
          <w:rFonts w:ascii="Times New Roman" w:hAnsi="Times New Roman" w:cs="Times New Roman"/>
        </w:rPr>
        <w:t>1,02</w:t>
      </w:r>
      <w:r w:rsidR="00845F32" w:rsidRPr="00837F29">
        <w:t>€</w:t>
      </w:r>
      <w:r w:rsidRPr="006D3B34">
        <w:rPr>
          <w:rFonts w:ascii="Times New Roman" w:hAnsi="Times New Roman" w:cs="Times New Roman"/>
        </w:rPr>
        <w:t>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б) при площ над 1 до 5 дка включително - 3,00</w:t>
      </w:r>
      <w:r w:rsidR="00845F32">
        <w:rPr>
          <w:rFonts w:ascii="Times New Roman" w:hAnsi="Times New Roman" w:cs="Times New Roman"/>
        </w:rPr>
        <w:t xml:space="preserve"> лв./1,53</w:t>
      </w:r>
      <w:r w:rsidR="00845F32" w:rsidRPr="00837F29">
        <w:t>€</w:t>
      </w:r>
      <w:r w:rsidRPr="006D3B34">
        <w:rPr>
          <w:rFonts w:ascii="Times New Roman" w:hAnsi="Times New Roman" w:cs="Times New Roman"/>
        </w:rPr>
        <w:t>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в) при площ над 5 до 10 дка включително - 4,00</w:t>
      </w:r>
      <w:r w:rsidR="00845F32">
        <w:rPr>
          <w:rFonts w:ascii="Times New Roman" w:hAnsi="Times New Roman" w:cs="Times New Roman"/>
        </w:rPr>
        <w:t xml:space="preserve"> лв./2,05</w:t>
      </w:r>
      <w:r w:rsidR="00845F32" w:rsidRPr="00837F29">
        <w:t>€</w:t>
      </w:r>
      <w:r w:rsidRPr="006D3B34">
        <w:rPr>
          <w:rFonts w:ascii="Times New Roman" w:hAnsi="Times New Roman" w:cs="Times New Roman"/>
        </w:rPr>
        <w:t>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г) при площ над 10 дка - 5,00</w:t>
      </w:r>
      <w:r w:rsidR="00845F32">
        <w:rPr>
          <w:rFonts w:ascii="Times New Roman" w:hAnsi="Times New Roman" w:cs="Times New Roman"/>
        </w:rPr>
        <w:t xml:space="preserve"> лв./2,56</w:t>
      </w:r>
      <w:r w:rsidR="00845F32" w:rsidRPr="00837F29">
        <w:t>€</w:t>
      </w:r>
      <w:r w:rsidRPr="006D3B34">
        <w:rPr>
          <w:rFonts w:ascii="Times New Roman" w:hAnsi="Times New Roman" w:cs="Times New Roman"/>
        </w:rPr>
        <w:t>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2. за обектите по чл. 7 независимо от размера на площта, която се засяга - 2,00</w:t>
      </w:r>
      <w:r w:rsidR="00845F32">
        <w:rPr>
          <w:rFonts w:ascii="Times New Roman" w:hAnsi="Times New Roman" w:cs="Times New Roman"/>
        </w:rPr>
        <w:t xml:space="preserve"> лв./1,02</w:t>
      </w:r>
      <w:r w:rsidR="00845F32" w:rsidRPr="00837F29">
        <w:t>€</w:t>
      </w:r>
      <w:r w:rsidRPr="006D3B34">
        <w:rPr>
          <w:rFonts w:ascii="Times New Roman" w:hAnsi="Times New Roman" w:cs="Times New Roman"/>
        </w:rPr>
        <w:t>;</w:t>
      </w:r>
    </w:p>
    <w:p w:rsidR="00AA2855" w:rsidRPr="006D3B34" w:rsidRDefault="00AA2855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3. за имоти, които са разположени в едно и също землище и за които предложения запромяна на предназначението са внесени от един и същ собственик или лице, което имаправо да строи в чужд имот, коефициентът за площ по т. 1 се определя въз основа на суматаот площите на всички имоти независимо от броя на изработените за тях подробниустройствени планове.</w:t>
      </w:r>
    </w:p>
    <w:p w:rsidR="00A53972" w:rsidRPr="006D3B34" w:rsidRDefault="00A53972" w:rsidP="00AA2855">
      <w:pPr>
        <w:jc w:val="both"/>
        <w:rPr>
          <w:rFonts w:ascii="Times New Roman" w:hAnsi="Times New Roman" w:cs="Times New Roman"/>
        </w:rPr>
      </w:pPr>
      <w:r w:rsidRPr="006D3B34">
        <w:rPr>
          <w:rFonts w:ascii="Times New Roman" w:hAnsi="Times New Roman" w:cs="Times New Roman"/>
        </w:rPr>
        <w:t>(3) Коефициентът за функционалния тип на населеното място се определя в зависимост от групата по функционален тип на населеното място и от вида на обекта както следва:</w:t>
      </w:r>
    </w:p>
    <w:tbl>
      <w:tblPr>
        <w:tblW w:w="918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40"/>
        <w:gridCol w:w="3102"/>
        <w:gridCol w:w="2943"/>
      </w:tblGrid>
      <w:tr w:rsidR="006D3B34" w:rsidRPr="006D3B34" w:rsidTr="00A53972">
        <w:trPr>
          <w:trHeight w:val="435"/>
        </w:trPr>
        <w:tc>
          <w:tcPr>
            <w:tcW w:w="3140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Групи по функционален тип</w:t>
            </w:r>
          </w:p>
        </w:tc>
        <w:tc>
          <w:tcPr>
            <w:tcW w:w="3102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Вид на обекта по чл. </w:t>
            </w:r>
            <w:r w:rsidR="00D3484E" w:rsidRPr="006D3B34">
              <w:rPr>
                <w:rFonts w:ascii="Times New Roman" w:eastAsia="Times New Roman" w:hAnsi="Times New Roman" w:cs="Times New Roman"/>
                <w:kern w:val="0"/>
                <w:lang w:val="en-US" w:eastAsia="bg-BG"/>
              </w:rPr>
              <w:t>6</w:t>
            </w: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 ал.1</w:t>
            </w:r>
          </w:p>
        </w:tc>
        <w:tc>
          <w:tcPr>
            <w:tcW w:w="2943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Вид на обекта по чл. </w:t>
            </w:r>
            <w:r w:rsidR="00D3484E" w:rsidRPr="006D3B34">
              <w:rPr>
                <w:rFonts w:ascii="Times New Roman" w:eastAsia="Times New Roman" w:hAnsi="Times New Roman" w:cs="Times New Roman"/>
                <w:kern w:val="0"/>
                <w:lang w:val="en-US" w:eastAsia="bg-BG"/>
              </w:rPr>
              <w:t>6</w:t>
            </w: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 ал.2</w:t>
            </w:r>
          </w:p>
        </w:tc>
      </w:tr>
      <w:tr w:rsidR="006D3B34" w:rsidRPr="006D3B34" w:rsidTr="00A53972">
        <w:trPr>
          <w:trHeight w:val="420"/>
        </w:trPr>
        <w:tc>
          <w:tcPr>
            <w:tcW w:w="3140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За земи в землищата на населените места от ІV функционален тип</w:t>
            </w:r>
          </w:p>
        </w:tc>
        <w:tc>
          <w:tcPr>
            <w:tcW w:w="3102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val="en-US"/>
              </w:rPr>
              <w:t>9.00</w:t>
            </w:r>
            <w:r w:rsidR="00845F32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</w:rPr>
              <w:t>лв./4,60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</w:p>
        </w:tc>
        <w:tc>
          <w:tcPr>
            <w:tcW w:w="2943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0.80 лв.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/0,41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</w:tc>
      </w:tr>
      <w:tr w:rsidR="006D3B34" w:rsidRPr="006D3B34" w:rsidTr="00A53972">
        <w:trPr>
          <w:trHeight w:val="210"/>
        </w:trPr>
        <w:tc>
          <w:tcPr>
            <w:tcW w:w="3140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За земи в землищата на населените места от V, VІ, VІІ функционален тип</w:t>
            </w:r>
          </w:p>
        </w:tc>
        <w:tc>
          <w:tcPr>
            <w:tcW w:w="3102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6.00</w:t>
            </w:r>
            <w:r w:rsid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 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лв./3,07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943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0.50 лв.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/0,26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</w:tc>
      </w:tr>
      <w:tr w:rsidR="006D3B34" w:rsidRPr="006D3B34" w:rsidTr="00A53972">
        <w:trPr>
          <w:trHeight w:val="270"/>
        </w:trPr>
        <w:tc>
          <w:tcPr>
            <w:tcW w:w="3140" w:type="dxa"/>
          </w:tcPr>
          <w:p w:rsidR="00A53972" w:rsidRPr="006D3B34" w:rsidRDefault="00A53972" w:rsidP="00A53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За земи в землищата на населените места от VІІІ, ІХ, </w:t>
            </w:r>
            <w:r w:rsidRPr="006D3B34">
              <w:rPr>
                <w:rFonts w:ascii="Times New Roman" w:eastAsia="Times New Roman" w:hAnsi="Times New Roman" w:cs="Times New Roman"/>
                <w:kern w:val="0"/>
                <w:lang w:eastAsia="bg-BG"/>
              </w:rPr>
              <w:lastRenderedPageBreak/>
              <w:t>Х функционален тип</w:t>
            </w:r>
          </w:p>
        </w:tc>
        <w:tc>
          <w:tcPr>
            <w:tcW w:w="3102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3.00</w:t>
            </w:r>
            <w:r w:rsid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 xml:space="preserve"> 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лв./1,53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943" w:type="dxa"/>
          </w:tcPr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</w:p>
          <w:p w:rsidR="00A53972" w:rsidRPr="00845F32" w:rsidRDefault="00A53972" w:rsidP="0079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</w:rPr>
            </w:pPr>
            <w:r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0.30 лв.</w:t>
            </w:r>
            <w:r w:rsidR="00845F32" w:rsidRPr="00845F32">
              <w:rPr>
                <w:rFonts w:ascii="Times New Roman" w:eastAsia="Times New Roman" w:hAnsi="Times New Roman" w:cs="Times New Roman"/>
                <w:kern w:val="0"/>
                <w:lang w:eastAsia="bg-BG"/>
              </w:rPr>
              <w:t>/0,15</w:t>
            </w:r>
            <w:r w:rsidR="00845F32" w:rsidRPr="00845F32">
              <w:rPr>
                <w:rFonts w:ascii="Times New Roman" w:hAnsi="Times New Roman" w:cs="Times New Roman"/>
              </w:rPr>
              <w:t>€</w:t>
            </w:r>
          </w:p>
        </w:tc>
      </w:tr>
    </w:tbl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        (</w:t>
      </w:r>
      <w:r w:rsidR="00D3484E" w:rsidRPr="006D3B34">
        <w:rPr>
          <w:rFonts w:ascii="Times New Roman" w:hAnsi="Times New Roman" w:cs="Times New Roman"/>
          <w:lang w:val="en-US"/>
        </w:rPr>
        <w:t>4</w:t>
      </w:r>
      <w:r w:rsidRPr="006D3B34">
        <w:rPr>
          <w:rFonts w:ascii="Times New Roman" w:hAnsi="Times New Roman" w:cs="Times New Roman"/>
          <w:lang w:val="en-US"/>
        </w:rPr>
        <w:t xml:space="preserve">).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линейни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коефициентът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функционален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тип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населеното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място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е 1</w:t>
      </w:r>
      <w:proofErr w:type="gramStart"/>
      <w:r w:rsidRPr="006D3B34">
        <w:rPr>
          <w:rFonts w:ascii="Times New Roman" w:hAnsi="Times New Roman" w:cs="Times New Roman"/>
          <w:lang w:val="en-US"/>
        </w:rPr>
        <w:t>,00</w:t>
      </w:r>
      <w:proofErr w:type="gramEnd"/>
      <w:r w:rsidR="00D3484E" w:rsidRPr="006D3B34">
        <w:rPr>
          <w:rFonts w:ascii="Times New Roman" w:hAnsi="Times New Roman" w:cs="Times New Roman"/>
          <w:lang w:val="en-US"/>
        </w:rPr>
        <w:t>.</w:t>
      </w: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        (</w:t>
      </w:r>
      <w:r w:rsidR="00D3484E" w:rsidRPr="006D3B34">
        <w:rPr>
          <w:rFonts w:ascii="Times New Roman" w:hAnsi="Times New Roman" w:cs="Times New Roman"/>
          <w:lang w:val="en-US"/>
        </w:rPr>
        <w:t>5</w:t>
      </w:r>
      <w:r w:rsidRPr="006D3B34">
        <w:rPr>
          <w:rFonts w:ascii="Times New Roman" w:hAnsi="Times New Roman" w:cs="Times New Roman"/>
          <w:lang w:val="en-US"/>
        </w:rPr>
        <w:t xml:space="preserve">). </w:t>
      </w:r>
      <w:proofErr w:type="spellStart"/>
      <w:r w:rsidRPr="006D3B34">
        <w:rPr>
          <w:rFonts w:ascii="Times New Roman" w:hAnsi="Times New Roman" w:cs="Times New Roman"/>
          <w:lang w:val="en-US"/>
        </w:rPr>
        <w:t>Коефициентът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поливност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поливни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условия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е 1</w:t>
      </w:r>
      <w:proofErr w:type="gramStart"/>
      <w:r w:rsidRPr="006D3B34">
        <w:rPr>
          <w:rFonts w:ascii="Times New Roman" w:hAnsi="Times New Roman" w:cs="Times New Roman"/>
          <w:lang w:val="en-US"/>
        </w:rPr>
        <w:t>,20</w:t>
      </w:r>
      <w:proofErr w:type="gramEnd"/>
      <w:r w:rsidRPr="006D3B34">
        <w:rPr>
          <w:rFonts w:ascii="Times New Roman" w:hAnsi="Times New Roman" w:cs="Times New Roman"/>
          <w:lang w:val="en-US"/>
        </w:rPr>
        <w:t xml:space="preserve">, а </w:t>
      </w:r>
      <w:proofErr w:type="spellStart"/>
      <w:r w:rsidRPr="006D3B34">
        <w:rPr>
          <w:rFonts w:ascii="Times New Roman" w:hAnsi="Times New Roman" w:cs="Times New Roman"/>
          <w:lang w:val="en-US"/>
        </w:rPr>
        <w:t>при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неполивни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- 1,00.</w:t>
      </w: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        (</w:t>
      </w:r>
      <w:r w:rsidR="00D3484E" w:rsidRPr="006D3B34">
        <w:rPr>
          <w:rFonts w:ascii="Times New Roman" w:hAnsi="Times New Roman" w:cs="Times New Roman"/>
          <w:lang w:val="en-US"/>
        </w:rPr>
        <w:t>6</w:t>
      </w:r>
      <w:r w:rsidRPr="006D3B34">
        <w:rPr>
          <w:rFonts w:ascii="Times New Roman" w:hAnsi="Times New Roman" w:cs="Times New Roman"/>
          <w:lang w:val="en-US"/>
        </w:rPr>
        <w:t xml:space="preserve">).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промяна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предназначението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земеделски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земи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Общинския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поземлен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фонд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когато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включват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6D3B34">
        <w:rPr>
          <w:rFonts w:ascii="Times New Roman" w:hAnsi="Times New Roman" w:cs="Times New Roman"/>
          <w:lang w:val="en-US"/>
        </w:rPr>
        <w:t>регулация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населеното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място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6D3B34">
        <w:rPr>
          <w:rFonts w:ascii="Times New Roman" w:hAnsi="Times New Roman" w:cs="Times New Roman"/>
          <w:lang w:val="en-US"/>
        </w:rPr>
        <w:t>предназначение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жилищно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строителство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общината</w:t>
      </w:r>
      <w:proofErr w:type="spellEnd"/>
      <w:r w:rsidR="00845F32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заплаща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6D3B34">
        <w:rPr>
          <w:rFonts w:ascii="Times New Roman" w:hAnsi="Times New Roman" w:cs="Times New Roman"/>
          <w:lang w:val="en-US"/>
        </w:rPr>
        <w:t>размер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10 </w:t>
      </w:r>
      <w:proofErr w:type="spellStart"/>
      <w:r w:rsidRPr="006D3B34">
        <w:rPr>
          <w:rFonts w:ascii="Times New Roman" w:hAnsi="Times New Roman" w:cs="Times New Roman"/>
          <w:lang w:val="en-US"/>
        </w:rPr>
        <w:t>лв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дка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. </w:t>
      </w: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>Чл.</w:t>
      </w:r>
      <w:r w:rsidR="00D3484E" w:rsidRPr="006D3B34">
        <w:rPr>
          <w:rFonts w:ascii="Times New Roman" w:hAnsi="Times New Roman" w:cs="Times New Roman"/>
          <w:lang w:val="en-US"/>
        </w:rPr>
        <w:t>6</w:t>
      </w:r>
      <w:proofErr w:type="gramStart"/>
      <w:r w:rsidRPr="006D3B34">
        <w:rPr>
          <w:rFonts w:ascii="Times New Roman" w:hAnsi="Times New Roman" w:cs="Times New Roman"/>
          <w:lang w:val="en-US"/>
        </w:rPr>
        <w:t>.(</w:t>
      </w:r>
      <w:proofErr w:type="gramEnd"/>
      <w:r w:rsidRPr="006D3B34">
        <w:rPr>
          <w:rFonts w:ascii="Times New Roman" w:hAnsi="Times New Roman" w:cs="Times New Roman"/>
          <w:lang w:val="en-US"/>
        </w:rPr>
        <w:t xml:space="preserve">1). </w:t>
      </w:r>
      <w:proofErr w:type="spellStart"/>
      <w:r w:rsidRPr="006D3B34">
        <w:rPr>
          <w:rFonts w:ascii="Times New Roman" w:hAnsi="Times New Roman" w:cs="Times New Roman"/>
          <w:lang w:val="en-US"/>
        </w:rPr>
        <w:t>Припромянапредназначението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земеделсказемязаизграждане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търговски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производствени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складови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административни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курортни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туристическииспортниобекти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жилищнисгради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вилнисгради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паркинги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гаражи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размерът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таксатасе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определят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пореда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чл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. </w:t>
      </w:r>
      <w:r w:rsidR="00D3484E" w:rsidRPr="006D3B34">
        <w:rPr>
          <w:rFonts w:ascii="Times New Roman" w:hAnsi="Times New Roman" w:cs="Times New Roman"/>
          <w:lang w:val="en-US"/>
        </w:rPr>
        <w:t>6</w:t>
      </w:r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катосеползвасъответниякоефициент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6D3B34">
        <w:rPr>
          <w:rFonts w:ascii="Times New Roman" w:hAnsi="Times New Roman" w:cs="Times New Roman"/>
          <w:lang w:val="en-US"/>
        </w:rPr>
        <w:t>колона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2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горнататаблица</w:t>
      </w:r>
      <w:proofErr w:type="spellEnd"/>
      <w:r w:rsidRPr="006D3B34">
        <w:rPr>
          <w:rFonts w:ascii="Times New Roman" w:hAnsi="Times New Roman" w:cs="Times New Roman"/>
          <w:lang w:val="en-US"/>
        </w:rPr>
        <w:t>.</w:t>
      </w:r>
    </w:p>
    <w:p w:rsidR="00A53972" w:rsidRPr="006D3B34" w:rsidRDefault="00A53972" w:rsidP="00D3484E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(2). </w:t>
      </w:r>
      <w:proofErr w:type="spellStart"/>
      <w:r w:rsidRPr="006D3B34">
        <w:rPr>
          <w:rFonts w:ascii="Times New Roman" w:hAnsi="Times New Roman" w:cs="Times New Roman"/>
          <w:lang w:val="en-US"/>
        </w:rPr>
        <w:t>При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промяна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предназначението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земеделска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изграждане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здравни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науката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образованието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културата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енергетиката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трансторта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със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социално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предназначение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опазване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възстановяване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околната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среда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свързани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6D3B34">
        <w:rPr>
          <w:rFonts w:ascii="Times New Roman" w:hAnsi="Times New Roman" w:cs="Times New Roman"/>
          <w:lang w:val="en-US"/>
        </w:rPr>
        <w:t>производството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съхранението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преработката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селскостопанска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продукция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хранително-вкусовата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промишленост</w:t>
      </w:r>
      <w:proofErr w:type="spellEnd"/>
      <w:r w:rsidRPr="006D3B34">
        <w:rPr>
          <w:rFonts w:ascii="Times New Roman" w:hAnsi="Times New Roman" w:cs="Times New Roman"/>
          <w:lang w:val="en-US"/>
        </w:rPr>
        <w:t>;</w:t>
      </w:r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стокови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тържища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непреработена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растителна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животинска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продукция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; 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съхраняване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поддържане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6D3B34">
        <w:rPr>
          <w:rFonts w:ascii="Times New Roman" w:hAnsi="Times New Roman" w:cs="Times New Roman"/>
          <w:lang w:val="en-US"/>
        </w:rPr>
        <w:t>ремонт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селскостопанска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техника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размерът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определя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реда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чл.</w:t>
      </w:r>
      <w:r w:rsidR="00D3484E" w:rsidRPr="006D3B34">
        <w:rPr>
          <w:rFonts w:ascii="Times New Roman" w:hAnsi="Times New Roman" w:cs="Times New Roman"/>
          <w:lang w:val="en-US"/>
        </w:rPr>
        <w:t>6</w:t>
      </w:r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като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ползва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съответния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коефициент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6D3B34">
        <w:rPr>
          <w:rFonts w:ascii="Times New Roman" w:hAnsi="Times New Roman" w:cs="Times New Roman"/>
          <w:lang w:val="en-US"/>
        </w:rPr>
        <w:t>колона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3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горната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таблица</w:t>
      </w:r>
      <w:proofErr w:type="spellEnd"/>
      <w:r w:rsidRPr="006D3B34">
        <w:rPr>
          <w:rFonts w:ascii="Times New Roman" w:hAnsi="Times New Roman" w:cs="Times New Roman"/>
          <w:lang w:val="en-US"/>
        </w:rPr>
        <w:t>.</w:t>
      </w: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>Чл.</w:t>
      </w:r>
      <w:r w:rsidR="00D3484E" w:rsidRPr="006D3B34">
        <w:rPr>
          <w:rFonts w:ascii="Times New Roman" w:hAnsi="Times New Roman" w:cs="Times New Roman"/>
          <w:lang w:val="en-US"/>
        </w:rPr>
        <w:t>7</w:t>
      </w:r>
      <w:r w:rsidRPr="006D3B34">
        <w:rPr>
          <w:rFonts w:ascii="Times New Roman" w:hAnsi="Times New Roman" w:cs="Times New Roman"/>
          <w:lang w:val="en-US"/>
        </w:rPr>
        <w:t xml:space="preserve">.(1).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заплаща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инвеститора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който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ще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строи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6D3B34">
        <w:rPr>
          <w:rFonts w:ascii="Times New Roman" w:hAnsi="Times New Roman" w:cs="Times New Roman"/>
          <w:lang w:val="en-US"/>
        </w:rPr>
        <w:t>земеделска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общинския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поземлен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фонд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след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постановяване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положително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Решение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промяна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D3B34">
        <w:rPr>
          <w:rFonts w:ascii="Times New Roman" w:hAnsi="Times New Roman" w:cs="Times New Roman"/>
          <w:lang w:val="en-US"/>
        </w:rPr>
        <w:t>предназначението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proofErr w:type="gram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земеделската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земя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комисията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чл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. 17, ал.1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ЗОЗЗ.</w:t>
      </w:r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            (2). </w:t>
      </w:r>
      <w:proofErr w:type="spellStart"/>
      <w:r w:rsidRPr="006D3B34">
        <w:rPr>
          <w:rFonts w:ascii="Times New Roman" w:hAnsi="Times New Roman" w:cs="Times New Roman"/>
          <w:lang w:val="en-US"/>
        </w:rPr>
        <w:t>Размерът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таксатапо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чл.</w:t>
      </w:r>
      <w:r w:rsidR="00D3484E" w:rsidRPr="006D3B34">
        <w:rPr>
          <w:rFonts w:ascii="Times New Roman" w:hAnsi="Times New Roman" w:cs="Times New Roman"/>
          <w:lang w:val="en-US"/>
        </w:rPr>
        <w:t>6</w:t>
      </w:r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всеки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конкретен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определя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въз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основа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протокол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комисия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D3B34">
        <w:rPr>
          <w:rFonts w:ascii="Times New Roman" w:hAnsi="Times New Roman" w:cs="Times New Roman"/>
          <w:lang w:val="en-US"/>
        </w:rPr>
        <w:t>назначена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кмета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общината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6D3B34">
        <w:rPr>
          <w:rFonts w:ascii="Times New Roman" w:hAnsi="Times New Roman" w:cs="Times New Roman"/>
          <w:lang w:val="en-US"/>
        </w:rPr>
        <w:t>Протоколът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комисията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връчва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инвеститора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обекта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реда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АПК.</w:t>
      </w:r>
      <w:proofErr w:type="gramEnd"/>
    </w:p>
    <w:p w:rsidR="00A53972" w:rsidRPr="006D3B34" w:rsidRDefault="00A53972" w:rsidP="00A53972">
      <w:pPr>
        <w:jc w:val="both"/>
        <w:rPr>
          <w:rFonts w:ascii="Times New Roman" w:hAnsi="Times New Roman" w:cs="Times New Roman"/>
          <w:lang w:val="en-US"/>
        </w:rPr>
      </w:pPr>
      <w:r w:rsidRPr="006D3B34">
        <w:rPr>
          <w:rFonts w:ascii="Times New Roman" w:hAnsi="Times New Roman" w:cs="Times New Roman"/>
          <w:lang w:val="en-US"/>
        </w:rPr>
        <w:t xml:space="preserve">            (3). </w:t>
      </w:r>
      <w:proofErr w:type="spellStart"/>
      <w:r w:rsidRPr="006D3B34">
        <w:rPr>
          <w:rFonts w:ascii="Times New Roman" w:hAnsi="Times New Roman" w:cs="Times New Roman"/>
          <w:lang w:val="en-US"/>
        </w:rPr>
        <w:t>Таксата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заплаща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еднократно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, в 30 </w:t>
      </w:r>
      <w:proofErr w:type="spellStart"/>
      <w:r w:rsidRPr="006D3B34">
        <w:rPr>
          <w:rFonts w:ascii="Times New Roman" w:hAnsi="Times New Roman" w:cs="Times New Roman"/>
          <w:lang w:val="en-US"/>
        </w:rPr>
        <w:t>дневен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срок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от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връчване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на</w:t>
      </w:r>
      <w:proofErr w:type="spellEnd"/>
      <w:r w:rsidRPr="006D3B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протокола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по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предходната</w:t>
      </w:r>
      <w:proofErr w:type="spellEnd"/>
      <w:r w:rsidR="002F3304">
        <w:rPr>
          <w:rFonts w:ascii="Times New Roman" w:hAnsi="Times New Roman" w:cs="Times New Roman"/>
        </w:rPr>
        <w:t xml:space="preserve"> </w:t>
      </w:r>
      <w:proofErr w:type="spellStart"/>
      <w:r w:rsidRPr="006D3B34">
        <w:rPr>
          <w:rFonts w:ascii="Times New Roman" w:hAnsi="Times New Roman" w:cs="Times New Roman"/>
          <w:lang w:val="en-US"/>
        </w:rPr>
        <w:t>алинея</w:t>
      </w:r>
      <w:proofErr w:type="spellEnd"/>
      <w:r w:rsidRPr="006D3B34">
        <w:rPr>
          <w:rFonts w:ascii="Times New Roman" w:hAnsi="Times New Roman" w:cs="Times New Roman"/>
          <w:lang w:val="en-US"/>
        </w:rPr>
        <w:t>.</w:t>
      </w:r>
    </w:p>
    <w:p w:rsidR="00A53972" w:rsidRPr="006D3B34" w:rsidRDefault="00A53972" w:rsidP="00AA2855">
      <w:pPr>
        <w:jc w:val="both"/>
        <w:rPr>
          <w:rFonts w:ascii="Times New Roman" w:hAnsi="Times New Roman" w:cs="Times New Roman"/>
        </w:rPr>
      </w:pPr>
    </w:p>
    <w:sectPr w:rsidR="00A53972" w:rsidRPr="006D3B34" w:rsidSect="00AA285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21033"/>
    <w:rsid w:val="00004243"/>
    <w:rsid w:val="001971BD"/>
    <w:rsid w:val="00230EA7"/>
    <w:rsid w:val="002F3304"/>
    <w:rsid w:val="004978FA"/>
    <w:rsid w:val="006D3B34"/>
    <w:rsid w:val="00721033"/>
    <w:rsid w:val="0079488F"/>
    <w:rsid w:val="007A2FD3"/>
    <w:rsid w:val="00845F32"/>
    <w:rsid w:val="00A53972"/>
    <w:rsid w:val="00AA2855"/>
    <w:rsid w:val="00BA5410"/>
    <w:rsid w:val="00C527D8"/>
    <w:rsid w:val="00C90B9B"/>
    <w:rsid w:val="00D07DF1"/>
    <w:rsid w:val="00D3484E"/>
    <w:rsid w:val="00E9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D3"/>
  </w:style>
  <w:style w:type="paragraph" w:styleId="1">
    <w:name w:val="heading 1"/>
    <w:basedOn w:val="a"/>
    <w:next w:val="a"/>
    <w:link w:val="10"/>
    <w:uiPriority w:val="9"/>
    <w:qFormat/>
    <w:rsid w:val="00721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1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0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1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10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1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1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1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1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7210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7210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7210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7210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721033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7210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721033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7210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7210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1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721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1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721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1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7210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10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210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10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7210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210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mariyana marinova</dc:creator>
  <cp:lastModifiedBy>Rumiana</cp:lastModifiedBy>
  <cp:revision>3</cp:revision>
  <dcterms:created xsi:type="dcterms:W3CDTF">2025-09-11T05:15:00Z</dcterms:created>
  <dcterms:modified xsi:type="dcterms:W3CDTF">2025-09-11T05:31:00Z</dcterms:modified>
</cp:coreProperties>
</file>